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56"/>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120"/>
        <w:gridCol w:w="2430"/>
      </w:tblGrid>
      <w:tr w:rsidR="00627C0F" w:rsidTr="00147382">
        <w:tc>
          <w:tcPr>
            <w:tcW w:w="2340" w:type="dxa"/>
          </w:tcPr>
          <w:p w:rsidR="00627C0F" w:rsidRDefault="00627C0F" w:rsidP="00627C0F">
            <w:r>
              <w:rPr>
                <w:noProof/>
              </w:rPr>
              <w:drawing>
                <wp:inline distT="0" distB="0" distL="0" distR="0" wp14:anchorId="6E7AF2D3" wp14:editId="7DC275F8">
                  <wp:extent cx="1390650" cy="1247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20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1374" cy="1284219"/>
                          </a:xfrm>
                          <a:prstGeom prst="rect">
                            <a:avLst/>
                          </a:prstGeom>
                        </pic:spPr>
                      </pic:pic>
                    </a:graphicData>
                  </a:graphic>
                </wp:inline>
              </w:drawing>
            </w:r>
          </w:p>
        </w:tc>
        <w:tc>
          <w:tcPr>
            <w:tcW w:w="6120" w:type="dxa"/>
          </w:tcPr>
          <w:p w:rsidR="00147382" w:rsidRPr="00147382" w:rsidRDefault="00147382" w:rsidP="00147382">
            <w:pPr>
              <w:keepNext/>
              <w:spacing w:before="40" w:after="0" w:line="240" w:lineRule="auto"/>
              <w:jc w:val="center"/>
              <w:outlineLvl w:val="0"/>
              <w:rPr>
                <w:rFonts w:ascii="Arial" w:eastAsia="Times New Roman" w:hAnsi="Arial" w:cs="Arial"/>
                <w:b/>
                <w:bCs/>
                <w:sz w:val="28"/>
                <w:szCs w:val="28"/>
              </w:rPr>
            </w:pPr>
          </w:p>
          <w:p w:rsidR="00147382" w:rsidRPr="00147382" w:rsidRDefault="00147382" w:rsidP="00147382">
            <w:pPr>
              <w:keepNext/>
              <w:spacing w:before="40" w:after="0" w:line="240" w:lineRule="auto"/>
              <w:jc w:val="center"/>
              <w:outlineLvl w:val="0"/>
              <w:rPr>
                <w:rFonts w:ascii="Arial" w:eastAsia="Times New Roman" w:hAnsi="Arial" w:cs="Arial"/>
                <w:b/>
                <w:bCs/>
                <w:sz w:val="28"/>
                <w:szCs w:val="28"/>
              </w:rPr>
            </w:pPr>
            <w:r w:rsidRPr="00147382">
              <w:rPr>
                <w:rFonts w:ascii="Arial" w:eastAsia="Times New Roman" w:hAnsi="Arial" w:cs="Arial"/>
                <w:b/>
                <w:bCs/>
                <w:sz w:val="28"/>
                <w:szCs w:val="28"/>
              </w:rPr>
              <w:t>Miami Metropolitan Housing Authority</w:t>
            </w:r>
          </w:p>
          <w:p w:rsidR="00147382" w:rsidRPr="00147382" w:rsidRDefault="00147382" w:rsidP="00147382">
            <w:pPr>
              <w:keepNext/>
              <w:spacing w:before="40" w:after="0" w:line="240" w:lineRule="auto"/>
              <w:jc w:val="center"/>
              <w:outlineLvl w:val="0"/>
              <w:rPr>
                <w:rFonts w:ascii="Arial" w:eastAsia="Times New Roman" w:hAnsi="Arial" w:cs="Arial"/>
                <w:b/>
                <w:bCs/>
                <w:sz w:val="28"/>
                <w:szCs w:val="28"/>
              </w:rPr>
            </w:pPr>
            <w:r w:rsidRPr="00147382">
              <w:rPr>
                <w:rFonts w:ascii="Arial" w:eastAsia="Times New Roman" w:hAnsi="Arial" w:cs="Arial"/>
                <w:b/>
                <w:bCs/>
                <w:sz w:val="28"/>
                <w:szCs w:val="28"/>
              </w:rPr>
              <w:t>Miami County Community Action Council</w:t>
            </w:r>
          </w:p>
          <w:p w:rsidR="00147382" w:rsidRPr="00147382" w:rsidRDefault="00147382" w:rsidP="00147382">
            <w:pPr>
              <w:keepNext/>
              <w:spacing w:before="40" w:after="0" w:line="240" w:lineRule="auto"/>
              <w:jc w:val="center"/>
              <w:outlineLvl w:val="0"/>
              <w:rPr>
                <w:rFonts w:ascii="Arial" w:eastAsia="Times New Roman" w:hAnsi="Arial" w:cs="Arial"/>
                <w:bCs/>
              </w:rPr>
            </w:pPr>
            <w:r w:rsidRPr="00147382">
              <w:rPr>
                <w:rFonts w:ascii="Arial" w:eastAsia="Times New Roman" w:hAnsi="Arial" w:cs="Arial"/>
                <w:bCs/>
              </w:rPr>
              <w:t>1695 Troy-Sidney Road, Troy OH  45373-9794</w:t>
            </w:r>
          </w:p>
          <w:p w:rsidR="00627C0F" w:rsidRDefault="00627C0F" w:rsidP="00627C0F"/>
        </w:tc>
        <w:tc>
          <w:tcPr>
            <w:tcW w:w="2430" w:type="dxa"/>
          </w:tcPr>
          <w:p w:rsidR="00627C0F" w:rsidRPr="00627C0F" w:rsidRDefault="00627C0F" w:rsidP="00627C0F">
            <w:pPr>
              <w:spacing w:after="0" w:line="240" w:lineRule="auto"/>
              <w:jc w:val="center"/>
              <w:rPr>
                <w:rFonts w:ascii="Times New Roman" w:eastAsia="Times New Roman" w:hAnsi="Times New Roman" w:cs="Times New Roman"/>
                <w:sz w:val="20"/>
                <w:szCs w:val="20"/>
              </w:rPr>
            </w:pPr>
          </w:p>
          <w:p w:rsidR="00627C0F" w:rsidRDefault="00627C0F" w:rsidP="00627C0F">
            <w:pPr>
              <w:spacing w:after="0" w:line="240" w:lineRule="auto"/>
              <w:jc w:val="center"/>
              <w:rPr>
                <w:rFonts w:ascii="Arial" w:eastAsia="Times New Roman" w:hAnsi="Arial" w:cs="Arial"/>
                <w:sz w:val="24"/>
                <w:szCs w:val="24"/>
              </w:rPr>
            </w:pPr>
          </w:p>
          <w:p w:rsidR="002810E0" w:rsidRPr="002810E0" w:rsidRDefault="002810E0" w:rsidP="002810E0">
            <w:pPr>
              <w:widowControl w:val="0"/>
              <w:spacing w:after="0" w:line="285" w:lineRule="auto"/>
              <w:jc w:val="center"/>
              <w:rPr>
                <w:rFonts w:ascii="Arial" w:eastAsia="Times New Roman" w:hAnsi="Arial" w:cs="Arial"/>
                <w:b/>
                <w:bCs/>
                <w:color w:val="000000"/>
                <w:kern w:val="28"/>
                <w:sz w:val="18"/>
                <w:szCs w:val="18"/>
                <w14:cntxtAlts/>
              </w:rPr>
            </w:pPr>
            <w:r w:rsidRPr="002810E0">
              <w:rPr>
                <w:rFonts w:ascii="Arial" w:eastAsia="Times New Roman" w:hAnsi="Arial" w:cs="Arial"/>
                <w:b/>
                <w:bCs/>
                <w:color w:val="000000"/>
                <w:kern w:val="28"/>
                <w:sz w:val="18"/>
                <w:szCs w:val="18"/>
                <w14:cntxtAlts/>
              </w:rPr>
              <w:t>P: (937) 335-7921</w:t>
            </w:r>
          </w:p>
          <w:p w:rsidR="002810E0" w:rsidRPr="002810E0" w:rsidRDefault="002810E0" w:rsidP="002810E0">
            <w:pPr>
              <w:widowControl w:val="0"/>
              <w:spacing w:after="0" w:line="285" w:lineRule="auto"/>
              <w:jc w:val="center"/>
              <w:rPr>
                <w:rFonts w:ascii="Arial" w:eastAsia="Times New Roman" w:hAnsi="Arial" w:cs="Arial"/>
                <w:b/>
                <w:bCs/>
                <w:color w:val="000000"/>
                <w:kern w:val="28"/>
                <w:sz w:val="18"/>
                <w:szCs w:val="18"/>
                <w14:cntxtAlts/>
              </w:rPr>
            </w:pPr>
            <w:r w:rsidRPr="002810E0">
              <w:rPr>
                <w:rFonts w:ascii="Arial" w:eastAsia="Times New Roman" w:hAnsi="Arial" w:cs="Arial"/>
                <w:b/>
                <w:bCs/>
                <w:color w:val="000000"/>
                <w:kern w:val="28"/>
                <w:sz w:val="18"/>
                <w:szCs w:val="18"/>
                <w14:cntxtAlts/>
              </w:rPr>
              <w:t>F: (937) 339-8905</w:t>
            </w:r>
          </w:p>
          <w:p w:rsidR="002810E0" w:rsidRPr="002810E0" w:rsidRDefault="002810E0" w:rsidP="002810E0">
            <w:pPr>
              <w:widowControl w:val="0"/>
              <w:spacing w:after="0" w:line="285" w:lineRule="auto"/>
              <w:jc w:val="center"/>
              <w:rPr>
                <w:rFonts w:ascii="Arial" w:eastAsia="Times New Roman" w:hAnsi="Arial" w:cs="Arial"/>
                <w:b/>
                <w:bCs/>
                <w:color w:val="000000"/>
                <w:kern w:val="28"/>
                <w:sz w:val="18"/>
                <w:szCs w:val="18"/>
                <w14:cntxtAlts/>
              </w:rPr>
            </w:pPr>
            <w:r w:rsidRPr="002810E0">
              <w:rPr>
                <w:rFonts w:ascii="Arial" w:eastAsia="Times New Roman" w:hAnsi="Arial" w:cs="Arial"/>
                <w:b/>
                <w:bCs/>
                <w:color w:val="000000"/>
                <w:kern w:val="28"/>
                <w:sz w:val="18"/>
                <w:szCs w:val="18"/>
                <w14:cntxtAlts/>
              </w:rPr>
              <w:t> </w:t>
            </w:r>
          </w:p>
          <w:p w:rsidR="002810E0" w:rsidRPr="002810E0" w:rsidRDefault="00C2671F" w:rsidP="002810E0">
            <w:pPr>
              <w:widowControl w:val="0"/>
              <w:spacing w:after="0" w:line="285" w:lineRule="auto"/>
              <w:jc w:val="center"/>
              <w:rPr>
                <w:rFonts w:ascii="Arial" w:eastAsia="Times New Roman" w:hAnsi="Arial" w:cs="Arial"/>
                <w:b/>
                <w:bCs/>
                <w:color w:val="000000"/>
                <w:kern w:val="28"/>
                <w:sz w:val="18"/>
                <w:szCs w:val="18"/>
                <w14:cntxtAlts/>
              </w:rPr>
            </w:pPr>
            <w:hyperlink r:id="rId7" w:history="1">
              <w:r w:rsidR="002810E0" w:rsidRPr="002810E0">
                <w:rPr>
                  <w:rFonts w:ascii="Arial" w:eastAsia="Times New Roman" w:hAnsi="Arial" w:cs="Arial"/>
                  <w:b/>
                  <w:bCs/>
                  <w:color w:val="0563C1"/>
                  <w:kern w:val="28"/>
                  <w:sz w:val="18"/>
                  <w:szCs w:val="18"/>
                  <w:u w:val="single"/>
                  <w14:cntxtAlts/>
                </w:rPr>
                <w:t>www.miamimha.org</w:t>
              </w:r>
            </w:hyperlink>
          </w:p>
          <w:p w:rsidR="002810E0" w:rsidRPr="002810E0" w:rsidRDefault="00C2671F" w:rsidP="002810E0">
            <w:pPr>
              <w:keepNext/>
              <w:spacing w:after="0" w:line="285" w:lineRule="auto"/>
              <w:jc w:val="center"/>
              <w:rPr>
                <w:rFonts w:ascii="Arial" w:eastAsia="Times New Roman" w:hAnsi="Arial" w:cs="Arial"/>
                <w:b/>
                <w:bCs/>
                <w:color w:val="000000"/>
                <w:kern w:val="28"/>
                <w:sz w:val="18"/>
                <w:szCs w:val="18"/>
                <w14:cntxtAlts/>
              </w:rPr>
            </w:pPr>
            <w:hyperlink r:id="rId8" w:history="1">
              <w:r w:rsidR="002810E0" w:rsidRPr="002810E0">
                <w:rPr>
                  <w:rFonts w:ascii="Arial" w:eastAsia="Times New Roman" w:hAnsi="Arial" w:cs="Arial"/>
                  <w:b/>
                  <w:bCs/>
                  <w:color w:val="0563C1"/>
                  <w:kern w:val="28"/>
                  <w:sz w:val="18"/>
                  <w:szCs w:val="18"/>
                  <w:u w:val="single"/>
                  <w14:cntxtAlts/>
                </w:rPr>
                <w:t>www.miamicac.org</w:t>
              </w:r>
            </w:hyperlink>
          </w:p>
          <w:p w:rsidR="002810E0" w:rsidRPr="002810E0" w:rsidRDefault="002810E0" w:rsidP="002810E0">
            <w:pPr>
              <w:widowControl w:val="0"/>
              <w:spacing w:after="120" w:line="285" w:lineRule="auto"/>
              <w:jc w:val="left"/>
              <w:rPr>
                <w:rFonts w:ascii="Cambria" w:eastAsia="Times New Roman" w:hAnsi="Cambria" w:cs="Times New Roman"/>
                <w:color w:val="000000"/>
                <w:kern w:val="28"/>
                <w:sz w:val="20"/>
                <w:szCs w:val="20"/>
                <w14:cntxtAlts/>
              </w:rPr>
            </w:pPr>
            <w:r w:rsidRPr="002810E0">
              <w:rPr>
                <w:rFonts w:ascii="Cambria" w:eastAsia="Times New Roman" w:hAnsi="Cambria" w:cs="Times New Roman"/>
                <w:color w:val="000000"/>
                <w:kern w:val="28"/>
                <w:sz w:val="20"/>
                <w:szCs w:val="20"/>
                <w14:cntxtAlts/>
              </w:rPr>
              <w:t> </w:t>
            </w:r>
          </w:p>
          <w:p w:rsidR="00627C0F" w:rsidRDefault="00627C0F" w:rsidP="00627C0F">
            <w:pPr>
              <w:jc w:val="center"/>
            </w:pPr>
          </w:p>
        </w:tc>
      </w:tr>
    </w:tbl>
    <w:p w:rsidR="00270FFA" w:rsidRPr="00270FFA" w:rsidRDefault="00270FFA" w:rsidP="00270FFA">
      <w:pPr>
        <w:spacing w:after="160" w:line="259" w:lineRule="auto"/>
        <w:rPr>
          <w:rFonts w:ascii="Verdana" w:hAnsi="Verdana"/>
          <w:b/>
          <w:color w:val="333333"/>
          <w:sz w:val="16"/>
          <w:szCs w:val="16"/>
          <w:u w:val="single"/>
          <w:shd w:val="clear" w:color="auto" w:fill="FFFFFF"/>
        </w:rPr>
      </w:pPr>
      <w:bookmarkStart w:id="0" w:name="_GoBack"/>
      <w:bookmarkEnd w:id="0"/>
    </w:p>
    <w:p w:rsidR="00270FFA" w:rsidRDefault="00270FFA" w:rsidP="00270FFA">
      <w:pPr>
        <w:spacing w:after="160" w:line="259" w:lineRule="auto"/>
        <w:jc w:val="center"/>
        <w:rPr>
          <w:rFonts w:ascii="Verdana" w:hAnsi="Verdana"/>
          <w:b/>
          <w:color w:val="333333"/>
          <w:sz w:val="23"/>
          <w:szCs w:val="23"/>
          <w:u w:val="single"/>
          <w:shd w:val="clear" w:color="auto" w:fill="FFFFFF"/>
        </w:rPr>
      </w:pPr>
      <w:r w:rsidRPr="00270FFA">
        <w:rPr>
          <w:rFonts w:ascii="Verdana" w:hAnsi="Verdana"/>
          <w:b/>
          <w:color w:val="333333"/>
          <w:sz w:val="23"/>
          <w:szCs w:val="23"/>
          <w:u w:val="single"/>
          <w:shd w:val="clear" w:color="auto" w:fill="FFFFFF"/>
        </w:rPr>
        <w:t>Landlord Incentive</w:t>
      </w:r>
      <w:r w:rsidR="00C2671F">
        <w:rPr>
          <w:rFonts w:ascii="Verdana" w:hAnsi="Verdana"/>
          <w:b/>
          <w:color w:val="333333"/>
          <w:sz w:val="23"/>
          <w:szCs w:val="23"/>
          <w:u w:val="single"/>
          <w:shd w:val="clear" w:color="auto" w:fill="FFFFFF"/>
        </w:rPr>
        <w:t xml:space="preserve"> </w:t>
      </w:r>
      <w:r w:rsidR="00C2671F" w:rsidRPr="00C2671F">
        <w:rPr>
          <w:rFonts w:ascii="Verdana" w:hAnsi="Verdana"/>
          <w:b/>
          <w:color w:val="333333"/>
          <w:sz w:val="23"/>
          <w:szCs w:val="23"/>
          <w:highlight w:val="yellow"/>
          <w:u w:val="single"/>
          <w:shd w:val="clear" w:color="auto" w:fill="FFFFFF"/>
        </w:rPr>
        <w:t>and</w:t>
      </w:r>
      <w:r w:rsidR="00C2671F">
        <w:rPr>
          <w:rFonts w:ascii="Verdana" w:hAnsi="Verdana"/>
          <w:b/>
          <w:color w:val="333333"/>
          <w:sz w:val="23"/>
          <w:szCs w:val="23"/>
          <w:u w:val="single"/>
          <w:shd w:val="clear" w:color="auto" w:fill="FFFFFF"/>
        </w:rPr>
        <w:t xml:space="preserve"> Security </w:t>
      </w:r>
      <w:proofErr w:type="gramStart"/>
      <w:r w:rsidR="00C2671F">
        <w:rPr>
          <w:rFonts w:ascii="Verdana" w:hAnsi="Verdana"/>
          <w:b/>
          <w:color w:val="333333"/>
          <w:sz w:val="23"/>
          <w:szCs w:val="23"/>
          <w:u w:val="single"/>
          <w:shd w:val="clear" w:color="auto" w:fill="FFFFFF"/>
        </w:rPr>
        <w:t xml:space="preserve">Deposit </w:t>
      </w:r>
      <w:r w:rsidRPr="00270FFA">
        <w:rPr>
          <w:rFonts w:ascii="Verdana" w:hAnsi="Verdana"/>
          <w:b/>
          <w:color w:val="333333"/>
          <w:sz w:val="23"/>
          <w:szCs w:val="23"/>
          <w:u w:val="single"/>
          <w:shd w:val="clear" w:color="auto" w:fill="FFFFFF"/>
        </w:rPr>
        <w:t xml:space="preserve"> Program</w:t>
      </w:r>
      <w:proofErr w:type="gramEnd"/>
      <w:r w:rsidRPr="00270FFA">
        <w:rPr>
          <w:rFonts w:ascii="Verdana" w:hAnsi="Verdana"/>
          <w:b/>
          <w:color w:val="333333"/>
          <w:sz w:val="23"/>
          <w:szCs w:val="23"/>
          <w:u w:val="single"/>
          <w:shd w:val="clear" w:color="auto" w:fill="FFFFFF"/>
        </w:rPr>
        <w:t xml:space="preserve"> Offered By MMHA</w:t>
      </w:r>
    </w:p>
    <w:p w:rsidR="003F2FE8" w:rsidRPr="00270FFA" w:rsidRDefault="003F2FE8" w:rsidP="00270FFA">
      <w:pPr>
        <w:spacing w:after="160" w:line="259" w:lineRule="auto"/>
        <w:jc w:val="center"/>
        <w:rPr>
          <w:rFonts w:ascii="Verdana" w:hAnsi="Verdana"/>
          <w:b/>
          <w:color w:val="333333"/>
          <w:sz w:val="23"/>
          <w:szCs w:val="23"/>
          <w:u w:val="single"/>
          <w:shd w:val="clear" w:color="auto" w:fill="FFFFFF"/>
        </w:rPr>
      </w:pPr>
    </w:p>
    <w:p w:rsidR="00270FFA" w:rsidRPr="00270FFA" w:rsidRDefault="00270FFA" w:rsidP="00270FFA">
      <w:pPr>
        <w:spacing w:after="160" w:line="259" w:lineRule="auto"/>
        <w:rPr>
          <w:rFonts w:ascii="Verdana" w:hAnsi="Verdana"/>
          <w:color w:val="333333"/>
          <w:sz w:val="23"/>
          <w:szCs w:val="23"/>
          <w:shd w:val="clear" w:color="auto" w:fill="FFFFFF"/>
        </w:rPr>
      </w:pPr>
      <w:r w:rsidRPr="00270FFA">
        <w:rPr>
          <w:rFonts w:ascii="Verdana" w:hAnsi="Verdana"/>
          <w:color w:val="333333"/>
          <w:sz w:val="23"/>
          <w:szCs w:val="23"/>
          <w:shd w:val="clear" w:color="auto" w:fill="FFFFFF"/>
        </w:rPr>
        <w:t xml:space="preserve">Beginning </w:t>
      </w:r>
      <w:r w:rsidR="00C2671F">
        <w:rPr>
          <w:rFonts w:ascii="Verdana" w:hAnsi="Verdana"/>
          <w:color w:val="333333"/>
          <w:sz w:val="23"/>
          <w:szCs w:val="23"/>
          <w:shd w:val="clear" w:color="auto" w:fill="FFFFFF"/>
        </w:rPr>
        <w:t>March 21, 2022</w:t>
      </w:r>
      <w:r w:rsidR="00A51C68">
        <w:rPr>
          <w:rFonts w:ascii="Verdana" w:hAnsi="Verdana"/>
          <w:color w:val="333333"/>
          <w:sz w:val="23"/>
          <w:szCs w:val="23"/>
          <w:shd w:val="clear" w:color="auto" w:fill="FFFFFF"/>
        </w:rPr>
        <w:t xml:space="preserve">, Miami County </w:t>
      </w:r>
      <w:r w:rsidR="00A51C68" w:rsidRPr="00C2671F">
        <w:rPr>
          <w:rFonts w:ascii="Verdana" w:hAnsi="Verdana"/>
          <w:color w:val="FF0000"/>
          <w:sz w:val="23"/>
          <w:szCs w:val="23"/>
          <w:shd w:val="clear" w:color="auto" w:fill="FFFFFF"/>
        </w:rPr>
        <w:t xml:space="preserve">landlords </w:t>
      </w:r>
      <w:r w:rsidR="00B824BC" w:rsidRPr="00C2671F">
        <w:rPr>
          <w:rFonts w:ascii="Verdana" w:hAnsi="Verdana"/>
          <w:color w:val="FF0000"/>
          <w:sz w:val="23"/>
          <w:szCs w:val="23"/>
          <w:shd w:val="clear" w:color="auto" w:fill="FFFFFF"/>
        </w:rPr>
        <w:t>may</w:t>
      </w:r>
      <w:r w:rsidR="00A51C68" w:rsidRPr="00C2671F">
        <w:rPr>
          <w:rFonts w:ascii="Verdana" w:hAnsi="Verdana"/>
          <w:color w:val="FF0000"/>
          <w:sz w:val="23"/>
          <w:szCs w:val="23"/>
          <w:shd w:val="clear" w:color="auto" w:fill="FFFFFF"/>
        </w:rPr>
        <w:t xml:space="preserve"> receive a</w:t>
      </w:r>
      <w:r w:rsidRPr="00C2671F">
        <w:rPr>
          <w:rFonts w:ascii="Verdana" w:hAnsi="Verdana"/>
          <w:color w:val="FF0000"/>
          <w:sz w:val="23"/>
          <w:szCs w:val="23"/>
          <w:shd w:val="clear" w:color="auto" w:fill="FFFFFF"/>
        </w:rPr>
        <w:t xml:space="preserve"> </w:t>
      </w:r>
      <w:r w:rsidRPr="00C2671F">
        <w:rPr>
          <w:rFonts w:ascii="Verdana" w:hAnsi="Verdana"/>
          <w:color w:val="FF0000"/>
          <w:sz w:val="24"/>
          <w:szCs w:val="24"/>
          <w:shd w:val="clear" w:color="auto" w:fill="FFFFFF"/>
        </w:rPr>
        <w:t>$</w:t>
      </w:r>
      <w:r w:rsidR="00C2671F" w:rsidRPr="00C2671F">
        <w:rPr>
          <w:rFonts w:ascii="Verdana" w:hAnsi="Verdana"/>
          <w:color w:val="FF0000"/>
          <w:sz w:val="24"/>
          <w:szCs w:val="24"/>
          <w:shd w:val="clear" w:color="auto" w:fill="FFFFFF"/>
        </w:rPr>
        <w:t>750</w:t>
      </w:r>
      <w:r w:rsidRPr="00C2671F">
        <w:rPr>
          <w:rFonts w:ascii="Verdana" w:hAnsi="Verdana"/>
          <w:color w:val="FF0000"/>
          <w:sz w:val="23"/>
          <w:szCs w:val="23"/>
          <w:shd w:val="clear" w:color="auto" w:fill="FFFFFF"/>
        </w:rPr>
        <w:t xml:space="preserve"> </w:t>
      </w:r>
      <w:r w:rsidR="00A51C68">
        <w:rPr>
          <w:rFonts w:ascii="Verdana" w:hAnsi="Verdana"/>
          <w:color w:val="333333"/>
          <w:sz w:val="23"/>
          <w:szCs w:val="23"/>
          <w:shd w:val="clear" w:color="auto" w:fill="FFFFFF"/>
        </w:rPr>
        <w:t>incentive payment for</w:t>
      </w:r>
      <w:r w:rsidRPr="00270FFA">
        <w:rPr>
          <w:rFonts w:ascii="Verdana" w:hAnsi="Verdana"/>
          <w:color w:val="333333"/>
          <w:sz w:val="23"/>
          <w:szCs w:val="23"/>
          <w:shd w:val="clear" w:color="auto" w:fill="FFFFFF"/>
        </w:rPr>
        <w:t xml:space="preserve"> unit</w:t>
      </w:r>
      <w:r w:rsidR="003F2FE8">
        <w:rPr>
          <w:rFonts w:ascii="Verdana" w:hAnsi="Verdana"/>
          <w:color w:val="333333"/>
          <w:sz w:val="23"/>
          <w:szCs w:val="23"/>
          <w:shd w:val="clear" w:color="auto" w:fill="FFFFFF"/>
        </w:rPr>
        <w:t>s</w:t>
      </w:r>
      <w:r w:rsidRPr="00270FFA">
        <w:rPr>
          <w:rFonts w:ascii="Verdana" w:hAnsi="Verdana"/>
          <w:color w:val="333333"/>
          <w:sz w:val="23"/>
          <w:szCs w:val="23"/>
          <w:shd w:val="clear" w:color="auto" w:fill="FFFFFF"/>
        </w:rPr>
        <w:t xml:space="preserve"> </w:t>
      </w:r>
      <w:r>
        <w:rPr>
          <w:rFonts w:ascii="Verdana" w:hAnsi="Verdana"/>
          <w:color w:val="333333"/>
          <w:sz w:val="23"/>
          <w:szCs w:val="23"/>
          <w:shd w:val="clear" w:color="auto" w:fill="FFFFFF"/>
        </w:rPr>
        <w:t>made available to</w:t>
      </w:r>
      <w:r w:rsidRPr="00270FFA">
        <w:rPr>
          <w:rFonts w:ascii="Verdana" w:hAnsi="Verdana"/>
          <w:color w:val="333333"/>
          <w:sz w:val="23"/>
          <w:szCs w:val="23"/>
          <w:shd w:val="clear" w:color="auto" w:fill="FFFFFF"/>
        </w:rPr>
        <w:t xml:space="preserve"> families with a Housing</w:t>
      </w:r>
      <w:r w:rsidR="00A51C68">
        <w:rPr>
          <w:rFonts w:ascii="Verdana" w:hAnsi="Verdana"/>
          <w:color w:val="333333"/>
          <w:sz w:val="23"/>
          <w:szCs w:val="23"/>
          <w:shd w:val="clear" w:color="auto" w:fill="FFFFFF"/>
        </w:rPr>
        <w:t xml:space="preserve"> Choice</w:t>
      </w:r>
      <w:r w:rsidRPr="00270FFA">
        <w:rPr>
          <w:rFonts w:ascii="Verdana" w:hAnsi="Verdana"/>
          <w:color w:val="333333"/>
          <w:sz w:val="23"/>
          <w:szCs w:val="23"/>
          <w:shd w:val="clear" w:color="auto" w:fill="FFFFFF"/>
        </w:rPr>
        <w:t xml:space="preserve"> Voucher. </w:t>
      </w:r>
      <w:r w:rsidR="00A51C68">
        <w:rPr>
          <w:rFonts w:ascii="Verdana" w:hAnsi="Verdana"/>
          <w:color w:val="333333"/>
          <w:sz w:val="23"/>
          <w:szCs w:val="23"/>
          <w:shd w:val="clear" w:color="auto" w:fill="FFFFFF"/>
        </w:rPr>
        <w:t>This payment is authorized by s</w:t>
      </w:r>
      <w:r w:rsidR="00A51C68" w:rsidRPr="00270FFA">
        <w:rPr>
          <w:rFonts w:ascii="Verdana" w:hAnsi="Verdana"/>
          <w:color w:val="333333"/>
          <w:sz w:val="23"/>
          <w:szCs w:val="23"/>
          <w:shd w:val="clear" w:color="auto" w:fill="FFFFFF"/>
        </w:rPr>
        <w:t xml:space="preserve">ubmitting an executed Section 8 Housing Assistance Payment (HAP) contract </w:t>
      </w:r>
      <w:r w:rsidR="00A51C68">
        <w:rPr>
          <w:rFonts w:ascii="Verdana" w:hAnsi="Verdana"/>
          <w:color w:val="333333"/>
          <w:sz w:val="23"/>
          <w:szCs w:val="23"/>
          <w:shd w:val="clear" w:color="auto" w:fill="FFFFFF"/>
        </w:rPr>
        <w:t>to MMHA</w:t>
      </w:r>
      <w:r w:rsidRPr="00270FFA">
        <w:rPr>
          <w:rFonts w:ascii="Verdana" w:hAnsi="Verdana"/>
          <w:color w:val="333333"/>
          <w:sz w:val="23"/>
          <w:szCs w:val="23"/>
          <w:shd w:val="clear" w:color="auto" w:fill="FFFFFF"/>
        </w:rPr>
        <w:t xml:space="preserve"> “With the increased need for affordable housing in the county, this new signing bonus program will provide landlords a strong incentive to sign a Housing Assistance Payment contract, opening the door to increased housing stability in our communities,” said MMHA Executive Director Keith GunderKline. “We’re hoping to attract new landlords to participate in the program so that they can see first-hand the benefits of renting to our qualified families.”</w:t>
      </w:r>
      <w:r w:rsidR="003F2FE8">
        <w:rPr>
          <w:rFonts w:ascii="Verdana" w:hAnsi="Verdana"/>
          <w:color w:val="333333"/>
          <w:sz w:val="23"/>
          <w:szCs w:val="23"/>
          <w:shd w:val="clear" w:color="auto" w:fill="FFFFFF"/>
        </w:rPr>
        <w:t xml:space="preserve"> Any units from a newly participating landlord are eligible for incentive payments, as are </w:t>
      </w:r>
      <w:r w:rsidR="00367AE8">
        <w:rPr>
          <w:rFonts w:ascii="Verdana" w:hAnsi="Verdana"/>
          <w:color w:val="333333"/>
          <w:sz w:val="23"/>
          <w:szCs w:val="23"/>
          <w:shd w:val="clear" w:color="auto" w:fill="FFFFFF"/>
        </w:rPr>
        <w:t xml:space="preserve">landlords </w:t>
      </w:r>
      <w:r w:rsidR="003F2FE8">
        <w:rPr>
          <w:rFonts w:ascii="Verdana" w:hAnsi="Verdana"/>
          <w:color w:val="333333"/>
          <w:sz w:val="23"/>
          <w:szCs w:val="23"/>
          <w:shd w:val="clear" w:color="auto" w:fill="FFFFFF"/>
        </w:rPr>
        <w:t xml:space="preserve">currently </w:t>
      </w:r>
      <w:r w:rsidR="00367AE8">
        <w:rPr>
          <w:rFonts w:ascii="Verdana" w:hAnsi="Verdana"/>
          <w:color w:val="333333"/>
          <w:sz w:val="23"/>
          <w:szCs w:val="23"/>
          <w:shd w:val="clear" w:color="auto" w:fill="FFFFFF"/>
        </w:rPr>
        <w:t xml:space="preserve">participating in the program </w:t>
      </w:r>
      <w:r w:rsidR="003F2FE8">
        <w:rPr>
          <w:rFonts w:ascii="Verdana" w:hAnsi="Verdana"/>
          <w:color w:val="333333"/>
          <w:sz w:val="23"/>
          <w:szCs w:val="23"/>
          <w:shd w:val="clear" w:color="auto" w:fill="FFFFFF"/>
        </w:rPr>
        <w:t>who lease</w:t>
      </w:r>
      <w:r w:rsidR="00367AE8">
        <w:rPr>
          <w:rFonts w:ascii="Verdana" w:hAnsi="Verdana"/>
          <w:color w:val="333333"/>
          <w:sz w:val="23"/>
          <w:szCs w:val="23"/>
          <w:shd w:val="clear" w:color="auto" w:fill="FFFFFF"/>
        </w:rPr>
        <w:t xml:space="preserve"> new units to </w:t>
      </w:r>
      <w:r w:rsidR="00E77A71" w:rsidRPr="00E77A71">
        <w:rPr>
          <w:rFonts w:ascii="Verdana" w:hAnsi="Verdana"/>
          <w:color w:val="333333"/>
          <w:sz w:val="23"/>
          <w:szCs w:val="23"/>
          <w:highlight w:val="yellow"/>
          <w:shd w:val="clear" w:color="auto" w:fill="FFFFFF"/>
        </w:rPr>
        <w:t>new</w:t>
      </w:r>
      <w:r w:rsidR="00E77A71">
        <w:rPr>
          <w:rFonts w:ascii="Verdana" w:hAnsi="Verdana"/>
          <w:color w:val="333333"/>
          <w:sz w:val="23"/>
          <w:szCs w:val="23"/>
          <w:shd w:val="clear" w:color="auto" w:fill="FFFFFF"/>
        </w:rPr>
        <w:t xml:space="preserve"> </w:t>
      </w:r>
      <w:r w:rsidR="00367AE8">
        <w:rPr>
          <w:rFonts w:ascii="Verdana" w:hAnsi="Verdana"/>
          <w:color w:val="333333"/>
          <w:sz w:val="23"/>
          <w:szCs w:val="23"/>
          <w:shd w:val="clear" w:color="auto" w:fill="FFFFFF"/>
        </w:rPr>
        <w:t>voucher holders</w:t>
      </w:r>
      <w:r w:rsidR="00084044">
        <w:rPr>
          <w:rFonts w:ascii="Verdana" w:hAnsi="Verdana"/>
          <w:color w:val="333333"/>
          <w:sz w:val="23"/>
          <w:szCs w:val="23"/>
          <w:shd w:val="clear" w:color="auto" w:fill="FFFFFF"/>
        </w:rPr>
        <w:t xml:space="preserve"> searching for a unit</w:t>
      </w:r>
      <w:r w:rsidR="00367AE8">
        <w:rPr>
          <w:rFonts w:ascii="Verdana" w:hAnsi="Verdana"/>
          <w:color w:val="333333"/>
          <w:sz w:val="23"/>
          <w:szCs w:val="23"/>
          <w:shd w:val="clear" w:color="auto" w:fill="FFFFFF"/>
        </w:rPr>
        <w:t xml:space="preserve">. </w:t>
      </w:r>
      <w:r w:rsidR="00C2671F">
        <w:rPr>
          <w:rFonts w:ascii="Verdana" w:hAnsi="Verdana"/>
          <w:color w:val="333333"/>
          <w:sz w:val="23"/>
          <w:szCs w:val="23"/>
          <w:shd w:val="clear" w:color="auto" w:fill="FFFFFF"/>
        </w:rPr>
        <w:t xml:space="preserve"> We </w:t>
      </w:r>
      <w:r w:rsidR="00C2671F" w:rsidRPr="00C2671F">
        <w:rPr>
          <w:rFonts w:ascii="Verdana" w:hAnsi="Verdana"/>
          <w:color w:val="FF0000"/>
          <w:sz w:val="23"/>
          <w:szCs w:val="23"/>
          <w:shd w:val="clear" w:color="auto" w:fill="FFFFFF"/>
        </w:rPr>
        <w:t>also</w:t>
      </w:r>
      <w:r w:rsidR="00C2671F">
        <w:rPr>
          <w:rFonts w:ascii="Verdana" w:hAnsi="Verdana"/>
          <w:color w:val="333333"/>
          <w:sz w:val="23"/>
          <w:szCs w:val="23"/>
          <w:shd w:val="clear" w:color="auto" w:fill="FFFFFF"/>
        </w:rPr>
        <w:t xml:space="preserve"> will offer </w:t>
      </w:r>
      <w:r w:rsidR="00C2671F" w:rsidRPr="00C2671F">
        <w:rPr>
          <w:rFonts w:ascii="Verdana" w:hAnsi="Verdana"/>
          <w:color w:val="FF0000"/>
          <w:sz w:val="24"/>
          <w:szCs w:val="24"/>
          <w:shd w:val="clear" w:color="auto" w:fill="FFFFFF"/>
        </w:rPr>
        <w:t>$750</w:t>
      </w:r>
      <w:r w:rsidR="00C2671F" w:rsidRPr="00C2671F">
        <w:rPr>
          <w:rFonts w:ascii="Verdana" w:hAnsi="Verdana"/>
          <w:color w:val="FF0000"/>
          <w:sz w:val="23"/>
          <w:szCs w:val="23"/>
          <w:shd w:val="clear" w:color="auto" w:fill="FFFFFF"/>
        </w:rPr>
        <w:t xml:space="preserve"> </w:t>
      </w:r>
      <w:r w:rsidR="00C2671F">
        <w:rPr>
          <w:rFonts w:ascii="Verdana" w:hAnsi="Verdana"/>
          <w:color w:val="333333"/>
          <w:sz w:val="23"/>
          <w:szCs w:val="23"/>
          <w:shd w:val="clear" w:color="auto" w:fill="FFFFFF"/>
        </w:rPr>
        <w:t xml:space="preserve">payment on behalf of the tenant for </w:t>
      </w:r>
      <w:r w:rsidR="00C2671F" w:rsidRPr="00C2671F">
        <w:rPr>
          <w:rFonts w:ascii="Verdana" w:hAnsi="Verdana"/>
          <w:color w:val="FF0000"/>
          <w:sz w:val="23"/>
          <w:szCs w:val="23"/>
          <w:shd w:val="clear" w:color="auto" w:fill="FFFFFF"/>
        </w:rPr>
        <w:t xml:space="preserve">security deposit.  </w:t>
      </w:r>
    </w:p>
    <w:p w:rsidR="00270FFA" w:rsidRPr="00270FFA" w:rsidRDefault="00270FFA" w:rsidP="00270FFA">
      <w:pPr>
        <w:spacing w:after="160" w:line="259" w:lineRule="auto"/>
      </w:pPr>
      <w:r w:rsidRPr="00270FFA">
        <w:rPr>
          <w:rFonts w:ascii="Verdana" w:hAnsi="Verdana"/>
          <w:color w:val="333333"/>
          <w:sz w:val="23"/>
          <w:szCs w:val="23"/>
          <w:shd w:val="clear" w:color="auto" w:fill="FFFFFF"/>
        </w:rPr>
        <w:t xml:space="preserve">MMHA currently has more than </w:t>
      </w:r>
      <w:r w:rsidR="00C2671F">
        <w:rPr>
          <w:rFonts w:ascii="Verdana" w:hAnsi="Verdana"/>
          <w:color w:val="333333"/>
          <w:sz w:val="23"/>
          <w:szCs w:val="23"/>
          <w:shd w:val="clear" w:color="auto" w:fill="FFFFFF"/>
        </w:rPr>
        <w:t>75</w:t>
      </w:r>
      <w:r w:rsidRPr="00270FFA">
        <w:rPr>
          <w:rFonts w:ascii="Verdana" w:hAnsi="Verdana"/>
          <w:color w:val="333333"/>
          <w:sz w:val="23"/>
          <w:szCs w:val="23"/>
          <w:shd w:val="clear" w:color="auto" w:fill="FFFFFF"/>
        </w:rPr>
        <w:t xml:space="preserve"> families with vouchers who are finding it difficult to locate available, suitable housing in the county. An increasing number have been forced to let their voucher expire due to the challenge in finding vacant units that meet the basic Voucher Program requirements. Participating landlords are guaranteed prompt payment of the monthly rent amount needed to supplement the tenant’s rent share</w:t>
      </w:r>
      <w:r w:rsidR="00367AE8">
        <w:rPr>
          <w:rFonts w:ascii="Verdana" w:hAnsi="Verdana"/>
          <w:color w:val="333333"/>
          <w:sz w:val="23"/>
          <w:szCs w:val="23"/>
          <w:shd w:val="clear" w:color="auto" w:fill="FFFFFF"/>
        </w:rPr>
        <w:t xml:space="preserve"> </w:t>
      </w:r>
      <w:r w:rsidRPr="00270FFA">
        <w:rPr>
          <w:rFonts w:ascii="Verdana" w:hAnsi="Verdana"/>
          <w:color w:val="333333"/>
          <w:sz w:val="23"/>
          <w:szCs w:val="23"/>
          <w:shd w:val="clear" w:color="auto" w:fill="FFFFFF"/>
        </w:rPr>
        <w:t xml:space="preserve">- which is based on a percentage of their income.  </w:t>
      </w:r>
    </w:p>
    <w:p w:rsidR="00147382" w:rsidRPr="00B87D29" w:rsidRDefault="00270FFA" w:rsidP="00270FFA">
      <w:pPr>
        <w:spacing w:after="160" w:line="259" w:lineRule="auto"/>
        <w:rPr>
          <w:rFonts w:ascii="Verdana" w:hAnsi="Verdana"/>
          <w:sz w:val="23"/>
          <w:szCs w:val="23"/>
          <w:shd w:val="clear" w:color="auto" w:fill="FFFFFF"/>
        </w:rPr>
      </w:pPr>
      <w:r w:rsidRPr="00270FFA">
        <w:rPr>
          <w:rFonts w:ascii="Verdana" w:hAnsi="Verdana"/>
          <w:color w:val="333333"/>
          <w:sz w:val="23"/>
          <w:szCs w:val="23"/>
          <w:shd w:val="clear" w:color="auto" w:fill="FFFFFF"/>
        </w:rPr>
        <w:t>The incentive payments will be available on a first-come, first-s</w:t>
      </w:r>
      <w:r w:rsidR="00C2671F">
        <w:rPr>
          <w:rFonts w:ascii="Verdana" w:hAnsi="Verdana"/>
          <w:color w:val="333333"/>
          <w:sz w:val="23"/>
          <w:szCs w:val="23"/>
          <w:shd w:val="clear" w:color="auto" w:fill="FFFFFF"/>
        </w:rPr>
        <w:t>erved basis until the current $20</w:t>
      </w:r>
      <w:r w:rsidRPr="00270FFA">
        <w:rPr>
          <w:rFonts w:ascii="Verdana" w:hAnsi="Verdana"/>
          <w:color w:val="333333"/>
          <w:sz w:val="23"/>
          <w:szCs w:val="23"/>
          <w:shd w:val="clear" w:color="auto" w:fill="FFFFFF"/>
        </w:rPr>
        <w:t xml:space="preserve">,000 of designated </w:t>
      </w:r>
      <w:r>
        <w:rPr>
          <w:rFonts w:ascii="Verdana" w:hAnsi="Verdana"/>
          <w:color w:val="333333"/>
          <w:sz w:val="23"/>
          <w:szCs w:val="23"/>
          <w:shd w:val="clear" w:color="auto" w:fill="FFFFFF"/>
        </w:rPr>
        <w:t xml:space="preserve">incentive </w:t>
      </w:r>
      <w:r w:rsidRPr="00270FFA">
        <w:rPr>
          <w:rFonts w:ascii="Verdana" w:hAnsi="Verdana"/>
          <w:color w:val="333333"/>
          <w:sz w:val="23"/>
          <w:szCs w:val="23"/>
          <w:shd w:val="clear" w:color="auto" w:fill="FFFFFF"/>
        </w:rPr>
        <w:t xml:space="preserve">funds are exhausted. To be eligible, a landlord must make available a new unit to lease to a </w:t>
      </w:r>
      <w:r w:rsidR="00E77A71" w:rsidRPr="00E77A71">
        <w:rPr>
          <w:rFonts w:ascii="Verdana" w:hAnsi="Verdana"/>
          <w:color w:val="333333"/>
          <w:sz w:val="23"/>
          <w:szCs w:val="23"/>
          <w:highlight w:val="yellow"/>
          <w:shd w:val="clear" w:color="auto" w:fill="FFFFFF"/>
        </w:rPr>
        <w:t>new</w:t>
      </w:r>
      <w:r w:rsidR="00E77A71">
        <w:rPr>
          <w:rFonts w:ascii="Verdana" w:hAnsi="Verdana"/>
          <w:color w:val="333333"/>
          <w:sz w:val="23"/>
          <w:szCs w:val="23"/>
          <w:shd w:val="clear" w:color="auto" w:fill="FFFFFF"/>
        </w:rPr>
        <w:t xml:space="preserve"> </w:t>
      </w:r>
      <w:r w:rsidRPr="00270FFA">
        <w:rPr>
          <w:rFonts w:ascii="Verdana" w:hAnsi="Verdana"/>
          <w:color w:val="333333"/>
          <w:sz w:val="23"/>
          <w:szCs w:val="23"/>
          <w:shd w:val="clear" w:color="auto" w:fill="FFFFFF"/>
        </w:rPr>
        <w:t xml:space="preserve">voucher holder. If successful, a similar incentive program may be made available in </w:t>
      </w:r>
      <w:r w:rsidR="00C2671F">
        <w:rPr>
          <w:rFonts w:ascii="Verdana" w:hAnsi="Verdana"/>
          <w:color w:val="333333"/>
          <w:sz w:val="23"/>
          <w:szCs w:val="23"/>
          <w:shd w:val="clear" w:color="auto" w:fill="FFFFFF"/>
        </w:rPr>
        <w:t>the future</w:t>
      </w:r>
      <w:r w:rsidRPr="00270FFA">
        <w:rPr>
          <w:rFonts w:ascii="Verdana" w:hAnsi="Verdana"/>
          <w:color w:val="333333"/>
          <w:sz w:val="23"/>
          <w:szCs w:val="23"/>
          <w:shd w:val="clear" w:color="auto" w:fill="FFFFFF"/>
        </w:rPr>
        <w:t xml:space="preserve">. More information can be found on the MMHA website at </w:t>
      </w:r>
      <w:r w:rsidRPr="00270FFA">
        <w:rPr>
          <w:rFonts w:ascii="Verdana" w:hAnsi="Verdana"/>
          <w:color w:val="2E74B5" w:themeColor="accent1" w:themeShade="BF"/>
          <w:sz w:val="23"/>
          <w:szCs w:val="23"/>
          <w:u w:val="single"/>
          <w:shd w:val="clear" w:color="auto" w:fill="FFFFFF"/>
        </w:rPr>
        <w:t>miamimha.org</w:t>
      </w:r>
      <w:r w:rsidR="00B87D29">
        <w:rPr>
          <w:rFonts w:ascii="Verdana" w:hAnsi="Verdana"/>
          <w:color w:val="2E74B5" w:themeColor="accent1" w:themeShade="BF"/>
          <w:sz w:val="23"/>
          <w:szCs w:val="23"/>
          <w:u w:val="single"/>
          <w:shd w:val="clear" w:color="auto" w:fill="FFFFFF"/>
        </w:rPr>
        <w:t xml:space="preserve">, </w:t>
      </w:r>
      <w:r w:rsidR="00B87D29" w:rsidRPr="00B87D29">
        <w:rPr>
          <w:rFonts w:ascii="Verdana" w:hAnsi="Verdana"/>
          <w:sz w:val="23"/>
          <w:szCs w:val="23"/>
          <w:u w:val="single"/>
          <w:shd w:val="clear" w:color="auto" w:fill="FFFFFF"/>
        </w:rPr>
        <w:t>or by calling (937) 335-7921</w:t>
      </w:r>
      <w:r w:rsidR="00C2671F">
        <w:rPr>
          <w:rFonts w:ascii="Verdana" w:hAnsi="Verdana"/>
          <w:sz w:val="23"/>
          <w:szCs w:val="23"/>
          <w:shd w:val="clear" w:color="auto" w:fill="FFFFFF"/>
        </w:rPr>
        <w:t xml:space="preserve">.  </w:t>
      </w:r>
    </w:p>
    <w:p w:rsidR="003B3C59" w:rsidRDefault="003B3C59" w:rsidP="00270FFA">
      <w:pPr>
        <w:spacing w:after="160" w:line="259" w:lineRule="auto"/>
        <w:rPr>
          <w:rFonts w:ascii="Verdana" w:hAnsi="Verdana"/>
          <w:color w:val="333333"/>
          <w:sz w:val="23"/>
          <w:szCs w:val="23"/>
          <w:shd w:val="clear" w:color="auto" w:fill="FFFFFF"/>
        </w:rPr>
      </w:pPr>
    </w:p>
    <w:sectPr w:rsidR="003B3C59" w:rsidSect="00663C15">
      <w:footerReference w:type="default" r:id="rId9"/>
      <w:footerReference w:type="first" r:id="rId10"/>
      <w:pgSz w:w="12240" w:h="15840"/>
      <w:pgMar w:top="1080" w:right="1440" w:bottom="1440" w:left="1440" w:header="21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82" w:rsidRDefault="00147382" w:rsidP="00147382">
      <w:pPr>
        <w:spacing w:after="0" w:line="240" w:lineRule="auto"/>
      </w:pPr>
      <w:r>
        <w:separator/>
      </w:r>
    </w:p>
  </w:endnote>
  <w:endnote w:type="continuationSeparator" w:id="0">
    <w:p w:rsidR="00147382" w:rsidRDefault="00147382" w:rsidP="0014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82" w:rsidRDefault="00147382">
    <w:pPr>
      <w:pStyle w:val="Footer"/>
    </w:pPr>
  </w:p>
  <w:tbl>
    <w:tblPr>
      <w:tblW w:w="8944" w:type="dxa"/>
      <w:jc w:val="center"/>
      <w:tblLook w:val="04A0" w:firstRow="1" w:lastRow="0" w:firstColumn="1" w:lastColumn="0" w:noHBand="0" w:noVBand="1"/>
    </w:tblPr>
    <w:tblGrid>
      <w:gridCol w:w="8500"/>
      <w:gridCol w:w="222"/>
      <w:gridCol w:w="222"/>
    </w:tblGrid>
    <w:tr w:rsidR="00147382" w:rsidRPr="00147382" w:rsidTr="00147382">
      <w:trPr>
        <w:trHeight w:val="860"/>
        <w:jc w:val="center"/>
      </w:trPr>
      <w:tc>
        <w:tcPr>
          <w:tcW w:w="8500" w:type="dxa"/>
          <w:shd w:val="clear" w:color="auto" w:fill="auto"/>
          <w:vAlign w:val="center"/>
        </w:tcPr>
        <w:tbl>
          <w:tblPr>
            <w:tblW w:w="8104" w:type="dxa"/>
            <w:tblInd w:w="180" w:type="dxa"/>
            <w:tblLook w:val="04A0" w:firstRow="1" w:lastRow="0" w:firstColumn="1" w:lastColumn="0" w:noHBand="0" w:noVBand="1"/>
          </w:tblPr>
          <w:tblGrid>
            <w:gridCol w:w="108"/>
            <w:gridCol w:w="2142"/>
            <w:gridCol w:w="108"/>
            <w:gridCol w:w="2986"/>
            <w:gridCol w:w="108"/>
            <w:gridCol w:w="2544"/>
            <w:gridCol w:w="108"/>
          </w:tblGrid>
          <w:tr w:rsidR="00147382" w:rsidTr="00147382">
            <w:trPr>
              <w:gridBefore w:val="1"/>
              <w:wBefore w:w="108" w:type="dxa"/>
              <w:trHeight w:val="860"/>
            </w:trPr>
            <w:tc>
              <w:tcPr>
                <w:tcW w:w="2250" w:type="dxa"/>
                <w:gridSpan w:val="2"/>
                <w:shd w:val="clear" w:color="auto" w:fill="auto"/>
                <w:vAlign w:val="center"/>
              </w:tcPr>
              <w:p w:rsidR="00147382" w:rsidRDefault="00147382" w:rsidP="00147382">
                <w:pPr>
                  <w:pStyle w:val="Footer"/>
                  <w:tabs>
                    <w:tab w:val="left" w:pos="1440"/>
                    <w:tab w:val="left" w:pos="7200"/>
                  </w:tabs>
                  <w:jc w:val="center"/>
                </w:pPr>
              </w:p>
            </w:tc>
            <w:tc>
              <w:tcPr>
                <w:tcW w:w="3094" w:type="dxa"/>
                <w:gridSpan w:val="2"/>
                <w:shd w:val="clear" w:color="auto" w:fill="auto"/>
              </w:tcPr>
              <w:p w:rsidR="00147382" w:rsidRDefault="00147382" w:rsidP="00147382">
                <w:pPr>
                  <w:pStyle w:val="Footer"/>
                  <w:tabs>
                    <w:tab w:val="left" w:pos="1440"/>
                    <w:tab w:val="left" w:pos="7200"/>
                  </w:tabs>
                </w:pPr>
              </w:p>
            </w:tc>
            <w:tc>
              <w:tcPr>
                <w:tcW w:w="2652" w:type="dxa"/>
                <w:gridSpan w:val="2"/>
                <w:shd w:val="clear" w:color="auto" w:fill="auto"/>
                <w:vAlign w:val="center"/>
              </w:tcPr>
              <w:p w:rsidR="00147382" w:rsidRDefault="00147382" w:rsidP="00147382">
                <w:pPr>
                  <w:pStyle w:val="Footer"/>
                  <w:tabs>
                    <w:tab w:val="left" w:pos="1440"/>
                    <w:tab w:val="left" w:pos="7200"/>
                  </w:tabs>
                  <w:ind w:left="127" w:right="60"/>
                  <w:jc w:val="center"/>
                </w:pPr>
              </w:p>
            </w:tc>
          </w:tr>
          <w:tr w:rsidR="00147382" w:rsidTr="00147382">
            <w:trPr>
              <w:gridAfter w:val="1"/>
              <w:wAfter w:w="108" w:type="dxa"/>
              <w:trHeight w:val="860"/>
            </w:trPr>
            <w:tc>
              <w:tcPr>
                <w:tcW w:w="2250" w:type="dxa"/>
                <w:gridSpan w:val="2"/>
                <w:shd w:val="clear" w:color="auto" w:fill="auto"/>
                <w:vAlign w:val="center"/>
              </w:tcPr>
              <w:tbl>
                <w:tblPr>
                  <w:tblW w:w="1800" w:type="dxa"/>
                  <w:tblBorders>
                    <w:insideH w:val="single" w:sz="4" w:space="0" w:color="auto"/>
                    <w:insideV w:val="single" w:sz="4" w:space="0" w:color="auto"/>
                  </w:tblBorders>
                  <w:tblLook w:val="04A0" w:firstRow="1" w:lastRow="0" w:firstColumn="1" w:lastColumn="0" w:noHBand="0" w:noVBand="1"/>
                </w:tblPr>
                <w:tblGrid>
                  <w:gridCol w:w="1800"/>
                </w:tblGrid>
                <w:tr w:rsidR="00147382" w:rsidTr="00300A17">
                  <w:trPr>
                    <w:trHeight w:val="709"/>
                  </w:trPr>
                  <w:tc>
                    <w:tcPr>
                      <w:tcW w:w="1800" w:type="dxa"/>
                      <w:shd w:val="clear" w:color="auto" w:fill="auto"/>
                    </w:tcPr>
                    <w:p w:rsidR="00147382" w:rsidRDefault="00147382" w:rsidP="00147382">
                      <w:pPr>
                        <w:pStyle w:val="Footer"/>
                        <w:tabs>
                          <w:tab w:val="left" w:pos="1440"/>
                          <w:tab w:val="left" w:pos="7200"/>
                        </w:tabs>
                        <w:spacing w:before="120" w:after="120"/>
                        <w:jc w:val="center"/>
                      </w:pPr>
                      <w:r w:rsidRPr="00312AE9">
                        <w:rPr>
                          <w:noProof/>
                        </w:rPr>
                        <w:drawing>
                          <wp:inline distT="0" distB="0" distL="0" distR="0">
                            <wp:extent cx="499745" cy="45339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453390"/>
                                    </a:xfrm>
                                    <a:prstGeom prst="rect">
                                      <a:avLst/>
                                    </a:prstGeom>
                                    <a:noFill/>
                                    <a:ln>
                                      <a:noFill/>
                                    </a:ln>
                                  </pic:spPr>
                                </pic:pic>
                              </a:graphicData>
                            </a:graphic>
                          </wp:inline>
                        </w:drawing>
                      </w:r>
                    </w:p>
                  </w:tc>
                </w:tr>
              </w:tbl>
              <w:p w:rsidR="00147382" w:rsidRDefault="00147382" w:rsidP="00147382">
                <w:pPr>
                  <w:pStyle w:val="Footer"/>
                  <w:tabs>
                    <w:tab w:val="left" w:pos="1440"/>
                    <w:tab w:val="left" w:pos="7200"/>
                  </w:tabs>
                  <w:jc w:val="center"/>
                </w:pPr>
              </w:p>
            </w:tc>
            <w:tc>
              <w:tcPr>
                <w:tcW w:w="3094" w:type="dxa"/>
                <w:gridSpan w:val="2"/>
                <w:shd w:val="clear" w:color="auto" w:fill="auto"/>
              </w:tcPr>
              <w:p w:rsidR="00147382" w:rsidRPr="00325A02" w:rsidRDefault="00147382" w:rsidP="00147382">
                <w:pPr>
                  <w:jc w:val="center"/>
                  <w:rPr>
                    <w:rFonts w:ascii="Arial" w:hAnsi="Arial" w:cs="Arial"/>
                    <w:sz w:val="20"/>
                  </w:rPr>
                </w:pPr>
              </w:p>
              <w:p w:rsidR="00147382" w:rsidRPr="00325A02" w:rsidRDefault="00147382" w:rsidP="00147382">
                <w:pPr>
                  <w:jc w:val="center"/>
                  <w:rPr>
                    <w:rFonts w:ascii="Arial" w:hAnsi="Arial" w:cs="Arial"/>
                    <w:sz w:val="20"/>
                  </w:rPr>
                </w:pPr>
              </w:p>
              <w:p w:rsidR="00147382" w:rsidRPr="00325A02" w:rsidRDefault="00147382" w:rsidP="00147382">
                <w:pPr>
                  <w:jc w:val="center"/>
                  <w:rPr>
                    <w:rFonts w:ascii="Arial" w:hAnsi="Arial" w:cs="Arial"/>
                    <w:sz w:val="20"/>
                  </w:rPr>
                </w:pPr>
                <w:r w:rsidRPr="00325A02">
                  <w:rPr>
                    <w:rFonts w:ascii="Arial" w:hAnsi="Arial" w:cs="Arial"/>
                    <w:sz w:val="20"/>
                  </w:rPr>
                  <w:t>Equal Opportunity Program</w:t>
                </w:r>
              </w:p>
              <w:p w:rsidR="00147382" w:rsidRPr="00325A02" w:rsidRDefault="00147382" w:rsidP="00147382">
                <w:pPr>
                  <w:jc w:val="center"/>
                  <w:rPr>
                    <w:rFonts w:ascii="Arial" w:hAnsi="Arial" w:cs="Arial"/>
                    <w:sz w:val="20"/>
                  </w:rPr>
                </w:pPr>
              </w:p>
              <w:p w:rsidR="00147382" w:rsidRPr="00325A02" w:rsidRDefault="00147382" w:rsidP="00147382">
                <w:pPr>
                  <w:jc w:val="center"/>
                  <w:rPr>
                    <w:rFonts w:ascii="Arial" w:hAnsi="Arial" w:cs="Arial"/>
                    <w:sz w:val="20"/>
                  </w:rPr>
                </w:pPr>
              </w:p>
              <w:p w:rsidR="00147382" w:rsidRPr="00325A02" w:rsidRDefault="00147382" w:rsidP="00147382">
                <w:pPr>
                  <w:jc w:val="center"/>
                  <w:rPr>
                    <w:rFonts w:ascii="Arial" w:hAnsi="Arial" w:cs="Arial"/>
                    <w:sz w:val="20"/>
                  </w:rPr>
                </w:pPr>
              </w:p>
              <w:p w:rsidR="00147382" w:rsidRDefault="00147382" w:rsidP="00147382">
                <w:pPr>
                  <w:pStyle w:val="Footer"/>
                  <w:tabs>
                    <w:tab w:val="left" w:pos="1440"/>
                    <w:tab w:val="left" w:pos="7200"/>
                  </w:tabs>
                </w:pPr>
              </w:p>
            </w:tc>
            <w:tc>
              <w:tcPr>
                <w:tcW w:w="2652" w:type="dxa"/>
                <w:gridSpan w:val="2"/>
                <w:shd w:val="clear" w:color="auto" w:fill="auto"/>
                <w:vAlign w:val="center"/>
              </w:tcPr>
              <w:p w:rsidR="00147382" w:rsidRDefault="00147382" w:rsidP="00147382">
                <w:pPr>
                  <w:pStyle w:val="Footer"/>
                  <w:tabs>
                    <w:tab w:val="left" w:pos="1440"/>
                    <w:tab w:val="left" w:pos="7200"/>
                  </w:tabs>
                  <w:ind w:left="127" w:right="60"/>
                  <w:jc w:val="center"/>
                </w:pPr>
                <w:r w:rsidRPr="00AA13CA">
                  <w:rPr>
                    <w:noProof/>
                  </w:rPr>
                  <w:drawing>
                    <wp:inline distT="0" distB="0" distL="0" distR="0">
                      <wp:extent cx="491490" cy="57658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576580"/>
                              </a:xfrm>
                              <a:prstGeom prst="rect">
                                <a:avLst/>
                              </a:prstGeom>
                              <a:noFill/>
                              <a:ln>
                                <a:noFill/>
                              </a:ln>
                            </pic:spPr>
                          </pic:pic>
                        </a:graphicData>
                      </a:graphic>
                    </wp:inline>
                  </w:drawing>
                </w:r>
              </w:p>
            </w:tc>
          </w:tr>
        </w:tbl>
        <w:p w:rsidR="00147382" w:rsidRPr="00147382" w:rsidRDefault="00147382" w:rsidP="00147382">
          <w:pPr>
            <w:tabs>
              <w:tab w:val="left" w:pos="1440"/>
              <w:tab w:val="center" w:pos="4320"/>
              <w:tab w:val="left" w:pos="7200"/>
              <w:tab w:val="right" w:pos="8640"/>
            </w:tabs>
            <w:spacing w:after="0" w:line="240" w:lineRule="auto"/>
            <w:jc w:val="center"/>
            <w:rPr>
              <w:rFonts w:ascii="Times New Roman" w:eastAsia="Times New Roman" w:hAnsi="Times New Roman" w:cs="Times New Roman"/>
              <w:sz w:val="24"/>
              <w:szCs w:val="20"/>
            </w:rPr>
          </w:pPr>
        </w:p>
      </w:tc>
      <w:tc>
        <w:tcPr>
          <w:tcW w:w="222" w:type="dxa"/>
          <w:shd w:val="clear" w:color="auto" w:fill="auto"/>
        </w:tcPr>
        <w:p w:rsidR="00147382" w:rsidRPr="00147382" w:rsidRDefault="00147382" w:rsidP="00147382">
          <w:pPr>
            <w:tabs>
              <w:tab w:val="left" w:pos="1440"/>
              <w:tab w:val="center" w:pos="4320"/>
              <w:tab w:val="left" w:pos="7200"/>
              <w:tab w:val="right" w:pos="8640"/>
            </w:tabs>
            <w:spacing w:after="0" w:line="240" w:lineRule="auto"/>
            <w:jc w:val="left"/>
            <w:rPr>
              <w:rFonts w:ascii="Times New Roman" w:eastAsia="Times New Roman" w:hAnsi="Times New Roman" w:cs="Times New Roman"/>
              <w:sz w:val="24"/>
              <w:szCs w:val="20"/>
            </w:rPr>
          </w:pPr>
        </w:p>
      </w:tc>
      <w:tc>
        <w:tcPr>
          <w:tcW w:w="222" w:type="dxa"/>
          <w:shd w:val="clear" w:color="auto" w:fill="auto"/>
          <w:vAlign w:val="center"/>
        </w:tcPr>
        <w:p w:rsidR="00147382" w:rsidRPr="00147382" w:rsidRDefault="00147382" w:rsidP="00147382">
          <w:pPr>
            <w:tabs>
              <w:tab w:val="left" w:pos="1440"/>
              <w:tab w:val="center" w:pos="4320"/>
              <w:tab w:val="left" w:pos="7200"/>
              <w:tab w:val="right" w:pos="8640"/>
            </w:tabs>
            <w:spacing w:after="0" w:line="240" w:lineRule="auto"/>
            <w:ind w:left="127" w:right="60"/>
            <w:jc w:val="center"/>
            <w:rPr>
              <w:rFonts w:ascii="Times New Roman" w:eastAsia="Times New Roman" w:hAnsi="Times New Roman" w:cs="Times New Roman"/>
              <w:sz w:val="24"/>
              <w:szCs w:val="20"/>
            </w:rPr>
          </w:pPr>
        </w:p>
      </w:tc>
    </w:tr>
  </w:tbl>
  <w:p w:rsidR="00147382" w:rsidRDefault="00147382" w:rsidP="001473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82" w:rsidRDefault="007863E7" w:rsidP="00663C15">
    <w:pPr>
      <w:pStyle w:val="Footer"/>
      <w:tabs>
        <w:tab w:val="left" w:pos="90"/>
      </w:tabs>
    </w:pPr>
    <w:r>
      <w:rPr>
        <w:rFonts w:ascii="Times New Roman" w:hAnsi="Times New Roman"/>
        <w:noProof/>
        <w:sz w:val="24"/>
        <w:szCs w:val="24"/>
      </w:rPr>
      <w:drawing>
        <wp:anchor distT="36576" distB="36576" distL="36576" distR="36576" simplePos="0" relativeHeight="251659264" behindDoc="0" locked="0" layoutInCell="1" allowOverlap="1" wp14:anchorId="3EFF3080" wp14:editId="5EF4853A">
          <wp:simplePos x="0" y="0"/>
          <wp:positionH relativeFrom="column">
            <wp:posOffset>5990907</wp:posOffset>
          </wp:positionH>
          <wp:positionV relativeFrom="paragraph">
            <wp:posOffset>66675</wp:posOffset>
          </wp:positionV>
          <wp:extent cx="167005" cy="191648"/>
          <wp:effectExtent l="0" t="0" r="444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 cy="19164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10E0">
      <w:rPr>
        <w:rFonts w:ascii="Times New Roman" w:eastAsia="Times New Roman" w:hAnsi="Times New Roman" w:cs="Times New Roman"/>
        <w:b/>
        <w:noProof/>
        <w:sz w:val="24"/>
        <w:szCs w:val="20"/>
      </w:rPr>
      <w:drawing>
        <wp:inline distT="0" distB="0" distL="0" distR="0" wp14:anchorId="65A7DD08" wp14:editId="73D76960">
          <wp:extent cx="266700" cy="203014"/>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8" cy="266094"/>
                  </a:xfrm>
                  <a:prstGeom prst="rect">
                    <a:avLst/>
                  </a:prstGeom>
                  <a:noFill/>
                  <a:ln>
                    <a:noFill/>
                  </a:ln>
                </pic:spPr>
              </pic:pic>
            </a:graphicData>
          </a:graphic>
        </wp:inline>
      </w:drawing>
    </w:r>
    <w:r w:rsidR="002810E0">
      <w:ptab w:relativeTo="margin" w:alignment="center" w:leader="none"/>
    </w:r>
    <w:r>
      <w:t xml:space="preserve">         </w:t>
    </w:r>
    <w:r w:rsidR="002810E0" w:rsidRPr="00901FF7">
      <w:rPr>
        <w:rFonts w:ascii="Arial" w:eastAsia="Times New Roman" w:hAnsi="Arial" w:cs="Arial"/>
        <w:b/>
        <w:sz w:val="20"/>
        <w:szCs w:val="20"/>
      </w:rPr>
      <w:t>Equal Opportunity Program</w:t>
    </w:r>
    <w:r w:rsidR="002810E0">
      <w:rPr>
        <w:rFonts w:ascii="Arial" w:eastAsia="Times New Roman" w:hAnsi="Arial" w:cs="Arial"/>
        <w:b/>
        <w:sz w:val="20"/>
        <w:szCs w:val="20"/>
      </w:rPr>
      <w:t xml:space="preserve"> </w:t>
    </w:r>
    <w:r w:rsidR="002810E0">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82" w:rsidRDefault="00147382" w:rsidP="00147382">
      <w:pPr>
        <w:spacing w:after="0" w:line="240" w:lineRule="auto"/>
      </w:pPr>
      <w:r>
        <w:separator/>
      </w:r>
    </w:p>
  </w:footnote>
  <w:footnote w:type="continuationSeparator" w:id="0">
    <w:p w:rsidR="00147382" w:rsidRDefault="00147382" w:rsidP="00147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0F"/>
    <w:rsid w:val="00084044"/>
    <w:rsid w:val="000C1E8B"/>
    <w:rsid w:val="00147382"/>
    <w:rsid w:val="00270FFA"/>
    <w:rsid w:val="002810E0"/>
    <w:rsid w:val="00367AE8"/>
    <w:rsid w:val="003B3C59"/>
    <w:rsid w:val="003E0D9E"/>
    <w:rsid w:val="003F2FE8"/>
    <w:rsid w:val="005972B4"/>
    <w:rsid w:val="005B5AC0"/>
    <w:rsid w:val="00627C0F"/>
    <w:rsid w:val="00663C15"/>
    <w:rsid w:val="00680FA2"/>
    <w:rsid w:val="006E7E32"/>
    <w:rsid w:val="007863E7"/>
    <w:rsid w:val="00A51C68"/>
    <w:rsid w:val="00AD5314"/>
    <w:rsid w:val="00B03493"/>
    <w:rsid w:val="00B824BC"/>
    <w:rsid w:val="00B87D29"/>
    <w:rsid w:val="00C2671F"/>
    <w:rsid w:val="00C97D62"/>
    <w:rsid w:val="00DC3E90"/>
    <w:rsid w:val="00E77A71"/>
    <w:rsid w:val="00E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955496"/>
  <w15:chartTrackingRefBased/>
  <w15:docId w15:val="{54B77566-5E32-418E-9C0F-B18F5D35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82"/>
  </w:style>
  <w:style w:type="paragraph" w:styleId="Footer">
    <w:name w:val="footer"/>
    <w:basedOn w:val="Normal"/>
    <w:link w:val="FooterChar"/>
    <w:unhideWhenUsed/>
    <w:rsid w:val="00147382"/>
    <w:pPr>
      <w:tabs>
        <w:tab w:val="center" w:pos="4680"/>
        <w:tab w:val="right" w:pos="9360"/>
      </w:tabs>
      <w:spacing w:after="0" w:line="240" w:lineRule="auto"/>
    </w:pPr>
  </w:style>
  <w:style w:type="character" w:customStyle="1" w:styleId="FooterChar">
    <w:name w:val="Footer Char"/>
    <w:basedOn w:val="DefaultParagraphFont"/>
    <w:link w:val="Footer"/>
    <w:rsid w:val="00147382"/>
  </w:style>
  <w:style w:type="paragraph" w:styleId="BalloonText">
    <w:name w:val="Balloon Text"/>
    <w:basedOn w:val="Normal"/>
    <w:link w:val="BalloonTextChar"/>
    <w:uiPriority w:val="99"/>
    <w:semiHidden/>
    <w:unhideWhenUsed/>
    <w:rsid w:val="006E7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E32"/>
    <w:rPr>
      <w:rFonts w:ascii="Segoe UI" w:hAnsi="Segoe UI" w:cs="Segoe UI"/>
      <w:sz w:val="18"/>
      <w:szCs w:val="18"/>
    </w:rPr>
  </w:style>
  <w:style w:type="character" w:styleId="Hyperlink">
    <w:name w:val="Hyperlink"/>
    <w:basedOn w:val="DefaultParagraphFont"/>
    <w:uiPriority w:val="99"/>
    <w:unhideWhenUsed/>
    <w:rsid w:val="00EF7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cac.org" TargetMode="External"/><Relationship Id="rId3" Type="http://schemas.openxmlformats.org/officeDocument/2006/relationships/webSettings" Target="webSettings.xml"/><Relationship Id="rId7" Type="http://schemas.openxmlformats.org/officeDocument/2006/relationships/hyperlink" Target="http://www.miamimh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Hamman</dc:creator>
  <cp:keywords/>
  <dc:description/>
  <cp:lastModifiedBy>barbarat@miamicac.org</cp:lastModifiedBy>
  <cp:revision>3</cp:revision>
  <cp:lastPrinted>2021-10-20T18:03:00Z</cp:lastPrinted>
  <dcterms:created xsi:type="dcterms:W3CDTF">2021-11-04T19:47:00Z</dcterms:created>
  <dcterms:modified xsi:type="dcterms:W3CDTF">2022-03-22T14:31:00Z</dcterms:modified>
</cp:coreProperties>
</file>